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b/>
          <w:sz w:val="44"/>
          <w:szCs w:val="44"/>
        </w:rPr>
      </w:pPr>
    </w:p>
    <w:p>
      <w:pPr>
        <w:spacing w:line="460" w:lineRule="exact"/>
        <w:jc w:val="center"/>
        <w:rPr>
          <w:rFonts w:hint="eastAsia"/>
          <w:b/>
          <w:sz w:val="44"/>
          <w:szCs w:val="44"/>
        </w:rPr>
      </w:pPr>
      <w:r>
        <w:rPr>
          <w:rFonts w:hint="eastAsia"/>
          <w:b/>
          <w:sz w:val="44"/>
          <w:szCs w:val="44"/>
        </w:rPr>
        <w:t>湖南省高校教师信息化教学竞赛评审标准</w:t>
      </w:r>
    </w:p>
    <w:p>
      <w:pPr>
        <w:spacing w:line="460" w:lineRule="exact"/>
        <w:jc w:val="center"/>
        <w:rPr>
          <w:rFonts w:hint="eastAsia"/>
          <w:b/>
          <w:sz w:val="44"/>
          <w:szCs w:val="44"/>
        </w:rPr>
      </w:pPr>
    </w:p>
    <w:tbl>
      <w:tblPr>
        <w:tblStyle w:val="3"/>
        <w:tblW w:w="9722" w:type="dxa"/>
        <w:jc w:val="center"/>
        <w:tblInd w:w="0" w:type="dxa"/>
        <w:tblLayout w:type="fixed"/>
        <w:tblCellMar>
          <w:top w:w="0" w:type="dxa"/>
          <w:left w:w="0" w:type="dxa"/>
          <w:bottom w:w="0" w:type="dxa"/>
          <w:right w:w="0" w:type="dxa"/>
        </w:tblCellMar>
      </w:tblPr>
      <w:tblGrid>
        <w:gridCol w:w="630"/>
        <w:gridCol w:w="567"/>
        <w:gridCol w:w="709"/>
        <w:gridCol w:w="2693"/>
        <w:gridCol w:w="2997"/>
        <w:gridCol w:w="2126"/>
      </w:tblGrid>
      <w:tr>
        <w:tblPrEx>
          <w:tblLayout w:type="fixed"/>
          <w:tblCellMar>
            <w:top w:w="0" w:type="dxa"/>
            <w:left w:w="0" w:type="dxa"/>
            <w:bottom w:w="0" w:type="dxa"/>
            <w:right w:w="0" w:type="dxa"/>
          </w:tblCellMar>
        </w:tblPrEx>
        <w:trPr>
          <w:trHeight w:val="375" w:hRule="atLeast"/>
          <w:jc w:val="center"/>
        </w:trPr>
        <w:tc>
          <w:tcPr>
            <w:tcW w:w="630" w:type="dxa"/>
            <w:vMerge w:val="restart"/>
            <w:tcBorders>
              <w:top w:val="single" w:color="000000" w:sz="8" w:space="0"/>
              <w:left w:val="single" w:color="000000" w:sz="8" w:space="0"/>
              <w:bottom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评价</w:t>
            </w:r>
          </w:p>
          <w:p>
            <w:pPr>
              <w:spacing w:line="276" w:lineRule="auto"/>
              <w:jc w:val="center"/>
              <w:rPr>
                <w:szCs w:val="21"/>
              </w:rPr>
            </w:pPr>
            <w:r>
              <w:rPr>
                <w:rFonts w:hint="eastAsia"/>
                <w:szCs w:val="21"/>
              </w:rPr>
              <w:t>项目</w:t>
            </w:r>
          </w:p>
        </w:tc>
        <w:tc>
          <w:tcPr>
            <w:tcW w:w="567" w:type="dxa"/>
            <w:vMerge w:val="restart"/>
            <w:tcBorders>
              <w:top w:val="single" w:color="000000" w:sz="8" w:space="0"/>
              <w:left w:val="single" w:color="auto" w:sz="4" w:space="0"/>
              <w:bottom w:val="single" w:color="000000" w:sz="8" w:space="0"/>
              <w:right w:val="single" w:color="000000" w:sz="8" w:space="0"/>
            </w:tcBorders>
            <w:shd w:val="clear" w:color="auto" w:fill="auto"/>
            <w:vAlign w:val="center"/>
          </w:tcPr>
          <w:p>
            <w:pPr>
              <w:spacing w:line="276" w:lineRule="auto"/>
              <w:jc w:val="center"/>
              <w:rPr>
                <w:szCs w:val="21"/>
              </w:rPr>
            </w:pPr>
            <w:r>
              <w:rPr>
                <w:rFonts w:hint="eastAsia"/>
                <w:szCs w:val="21"/>
              </w:rPr>
              <w:t>评估内容</w:t>
            </w:r>
          </w:p>
        </w:tc>
        <w:tc>
          <w:tcPr>
            <w:tcW w:w="709" w:type="dxa"/>
            <w:vMerge w:val="restart"/>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权重</w:t>
            </w:r>
          </w:p>
        </w:tc>
        <w:tc>
          <w:tcPr>
            <w:tcW w:w="7816" w:type="dxa"/>
            <w:gridSpan w:val="3"/>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评估标准及级别与分值</w:t>
            </w:r>
          </w:p>
        </w:tc>
      </w:tr>
      <w:tr>
        <w:tblPrEx>
          <w:tblLayout w:type="fixed"/>
          <w:tblCellMar>
            <w:top w:w="0" w:type="dxa"/>
            <w:left w:w="0" w:type="dxa"/>
            <w:bottom w:w="0" w:type="dxa"/>
            <w:right w:w="0" w:type="dxa"/>
          </w:tblCellMar>
        </w:tblPrEx>
        <w:trPr>
          <w:trHeight w:val="452" w:hRule="atLeast"/>
          <w:jc w:val="center"/>
        </w:trPr>
        <w:tc>
          <w:tcPr>
            <w:tcW w:w="630" w:type="dxa"/>
            <w:vMerge w:val="continue"/>
            <w:tcBorders>
              <w:top w:val="single" w:color="000000" w:sz="8" w:space="0"/>
              <w:left w:val="single" w:color="000000" w:sz="8" w:space="0"/>
              <w:bottom w:val="single" w:color="000000" w:sz="8" w:space="0"/>
              <w:right w:val="single" w:color="auto" w:sz="4" w:space="0"/>
            </w:tcBorders>
            <w:vAlign w:val="center"/>
          </w:tcPr>
          <w:p>
            <w:pPr>
              <w:spacing w:line="460" w:lineRule="exact"/>
              <w:ind w:firstLine="420" w:firstLineChars="200"/>
              <w:jc w:val="center"/>
              <w:rPr>
                <w:szCs w:val="21"/>
              </w:rPr>
            </w:pPr>
          </w:p>
        </w:tc>
        <w:tc>
          <w:tcPr>
            <w:tcW w:w="567" w:type="dxa"/>
            <w:vMerge w:val="continue"/>
            <w:tcBorders>
              <w:top w:val="single" w:color="000000" w:sz="8" w:space="0"/>
              <w:left w:val="single" w:color="auto" w:sz="4" w:space="0"/>
              <w:bottom w:val="single" w:color="000000" w:sz="8" w:space="0"/>
              <w:right w:val="single" w:color="000000" w:sz="8" w:space="0"/>
            </w:tcBorders>
            <w:vAlign w:val="center"/>
          </w:tcPr>
          <w:p>
            <w:pPr>
              <w:spacing w:line="276" w:lineRule="auto"/>
              <w:jc w:val="center"/>
              <w:rPr>
                <w:szCs w:val="21"/>
              </w:rPr>
            </w:pPr>
          </w:p>
        </w:tc>
        <w:tc>
          <w:tcPr>
            <w:tcW w:w="709" w:type="dxa"/>
            <w:vMerge w:val="continue"/>
            <w:tcBorders>
              <w:top w:val="single" w:color="000000" w:sz="8" w:space="0"/>
              <w:left w:val="single" w:color="000000" w:sz="8" w:space="0"/>
              <w:bottom w:val="single" w:color="000000" w:sz="8" w:space="0"/>
              <w:right w:val="single" w:color="000000" w:sz="8" w:space="0"/>
            </w:tcBorders>
            <w:vAlign w:val="center"/>
          </w:tcPr>
          <w:p>
            <w:pPr>
              <w:spacing w:line="460" w:lineRule="exact"/>
              <w:ind w:firstLine="420" w:firstLineChars="200"/>
              <w:jc w:val="center"/>
              <w:rPr>
                <w:szCs w:val="21"/>
              </w:rPr>
            </w:pPr>
          </w:p>
        </w:tc>
        <w:tc>
          <w:tcPr>
            <w:tcW w:w="2693"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A级（</w:t>
            </w:r>
            <w:r>
              <w:rPr>
                <w:szCs w:val="21"/>
              </w:rPr>
              <w:t>100-8</w:t>
            </w:r>
            <w:r>
              <w:rPr>
                <w:rFonts w:hint="eastAsia"/>
                <w:szCs w:val="21"/>
              </w:rPr>
              <w:t>5分）</w:t>
            </w:r>
          </w:p>
        </w:tc>
        <w:tc>
          <w:tcPr>
            <w:tcW w:w="2997"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B级（</w:t>
            </w:r>
            <w:r>
              <w:rPr>
                <w:szCs w:val="21"/>
              </w:rPr>
              <w:t>8</w:t>
            </w:r>
            <w:r>
              <w:rPr>
                <w:rFonts w:hint="eastAsia"/>
                <w:szCs w:val="21"/>
              </w:rPr>
              <w:t>4</w:t>
            </w:r>
            <w:r>
              <w:rPr>
                <w:szCs w:val="21"/>
              </w:rPr>
              <w:t>-</w:t>
            </w:r>
            <w:r>
              <w:rPr>
                <w:rFonts w:hint="eastAsia"/>
                <w:szCs w:val="21"/>
              </w:rPr>
              <w:t>70分）</w:t>
            </w:r>
          </w:p>
        </w:tc>
        <w:tc>
          <w:tcPr>
            <w:tcW w:w="2126" w:type="dxa"/>
            <w:tcBorders>
              <w:top w:val="single" w:color="000000" w:sz="8" w:space="0"/>
              <w:left w:val="single" w:color="000000" w:sz="8"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jc w:val="center"/>
              <w:rPr>
                <w:szCs w:val="21"/>
              </w:rPr>
            </w:pPr>
            <w:r>
              <w:rPr>
                <w:rFonts w:hint="eastAsia"/>
                <w:szCs w:val="21"/>
              </w:rPr>
              <w:t>C级（</w:t>
            </w:r>
            <w:r>
              <w:rPr>
                <w:szCs w:val="21"/>
              </w:rPr>
              <w:t>6</w:t>
            </w:r>
            <w:r>
              <w:rPr>
                <w:rFonts w:hint="eastAsia"/>
                <w:szCs w:val="21"/>
              </w:rPr>
              <w:t>9</w:t>
            </w:r>
            <w:r>
              <w:rPr>
                <w:szCs w:val="21"/>
              </w:rPr>
              <w:t>-</w:t>
            </w:r>
            <w:r>
              <w:rPr>
                <w:rFonts w:hint="eastAsia"/>
                <w:szCs w:val="21"/>
              </w:rPr>
              <w:t>55分）</w:t>
            </w:r>
          </w:p>
        </w:tc>
      </w:tr>
      <w:tr>
        <w:tblPrEx>
          <w:tblLayout w:type="fixed"/>
          <w:tblCellMar>
            <w:top w:w="0" w:type="dxa"/>
            <w:left w:w="0" w:type="dxa"/>
            <w:bottom w:w="0" w:type="dxa"/>
            <w:right w:w="0" w:type="dxa"/>
          </w:tblCellMar>
        </w:tblPrEx>
        <w:trPr>
          <w:trHeight w:val="755" w:hRule="atLeast"/>
          <w:jc w:val="center"/>
        </w:trPr>
        <w:tc>
          <w:tcPr>
            <w:tcW w:w="630" w:type="dxa"/>
            <w:vMerge w:val="restart"/>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教学软件</w:t>
            </w: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设计理念</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000000" w:sz="8" w:space="0"/>
              <w:right w:val="single" w:color="000000" w:sz="8" w:space="0"/>
            </w:tcBorders>
            <w:shd w:val="clear" w:color="auto" w:fill="auto"/>
            <w:tcMar>
              <w:top w:w="0" w:type="dxa"/>
              <w:left w:w="63" w:type="dxa"/>
              <w:bottom w:w="0" w:type="dxa"/>
              <w:right w:w="63" w:type="dxa"/>
            </w:tcMar>
          </w:tcPr>
          <w:p>
            <w:pPr>
              <w:spacing w:line="276" w:lineRule="auto"/>
              <w:ind w:firstLine="420" w:firstLineChars="200"/>
              <w:rPr>
                <w:szCs w:val="21"/>
              </w:rPr>
            </w:pPr>
            <w:r>
              <w:rPr>
                <w:rFonts w:ascii="宋体" w:hAnsi="宋体"/>
                <w:szCs w:val="21"/>
              </w:rPr>
              <w:t>教学软件应由参赛教师自主建设或参与建设，教学理念先进，技术应用合理，较好实现信息技术与课程教学的深度融合，无知识产权异议和纠纷</w:t>
            </w:r>
            <w:r>
              <w:rPr>
                <w:rFonts w:hint="eastAsia" w:ascii="宋体" w:hAnsi="宋体"/>
                <w:szCs w:val="21"/>
              </w:rPr>
              <w:t>。</w:t>
            </w:r>
          </w:p>
        </w:tc>
      </w:tr>
      <w:tr>
        <w:tblPrEx>
          <w:tblLayout w:type="fixed"/>
          <w:tblCellMar>
            <w:top w:w="0" w:type="dxa"/>
            <w:left w:w="0" w:type="dxa"/>
            <w:bottom w:w="0" w:type="dxa"/>
            <w:right w:w="0" w:type="dxa"/>
          </w:tblCellMar>
        </w:tblPrEx>
        <w:trPr>
          <w:trHeight w:val="810"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教学支持</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0.2</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szCs w:val="21"/>
              </w:rPr>
            </w:pPr>
            <w:r>
              <w:rPr>
                <w:rFonts w:ascii="宋体" w:hAnsi="宋体"/>
                <w:szCs w:val="21"/>
              </w:rPr>
              <w:t>教学软件能够完整体现所授课程的主要内容，有效破解教学中的重点难点问题，交互性能和教学效果较好</w:t>
            </w:r>
            <w:r>
              <w:rPr>
                <w:rFonts w:hint="eastAsia" w:ascii="宋体" w:hAnsi="宋体"/>
                <w:szCs w:val="21"/>
              </w:rPr>
              <w:t>。</w:t>
            </w:r>
          </w:p>
        </w:tc>
      </w:tr>
      <w:tr>
        <w:tblPrEx>
          <w:tblLayout w:type="fixed"/>
          <w:tblCellMar>
            <w:top w:w="0" w:type="dxa"/>
            <w:left w:w="0" w:type="dxa"/>
            <w:bottom w:w="0" w:type="dxa"/>
            <w:right w:w="0" w:type="dxa"/>
          </w:tblCellMar>
        </w:tblPrEx>
        <w:trPr>
          <w:trHeight w:val="822"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技术艺术</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教学软件能够合理选用图形图像、音视频、动画等多媒体技术呈现教学内容，界面布局合理，色彩搭配协调，播放顺畅稳定，导航链接准确，用户体验良好。</w:t>
            </w:r>
          </w:p>
        </w:tc>
      </w:tr>
      <w:tr>
        <w:tblPrEx>
          <w:tblLayout w:type="fixed"/>
          <w:tblCellMar>
            <w:top w:w="0" w:type="dxa"/>
            <w:left w:w="0" w:type="dxa"/>
            <w:bottom w:w="0" w:type="dxa"/>
            <w:right w:w="0" w:type="dxa"/>
          </w:tblCellMar>
        </w:tblPrEx>
        <w:trPr>
          <w:trHeight w:val="792" w:hRule="atLeast"/>
          <w:jc w:val="center"/>
        </w:trPr>
        <w:tc>
          <w:tcPr>
            <w:tcW w:w="630" w:type="dxa"/>
            <w:vMerge w:val="restart"/>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276" w:lineRule="auto"/>
              <w:jc w:val="center"/>
              <w:rPr>
                <w:szCs w:val="21"/>
              </w:rPr>
            </w:pPr>
            <w:r>
              <w:rPr>
                <w:rFonts w:hint="eastAsia"/>
                <w:szCs w:val="21"/>
              </w:rPr>
              <w:t>教学应用</w:t>
            </w: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教学理念</w:t>
            </w:r>
          </w:p>
        </w:tc>
        <w:tc>
          <w:tcPr>
            <w:tcW w:w="709" w:type="dxa"/>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w:t>
            </w:r>
          </w:p>
        </w:tc>
        <w:tc>
          <w:tcPr>
            <w:tcW w:w="7816" w:type="dxa"/>
            <w:gridSpan w:val="3"/>
            <w:tcBorders>
              <w:top w:val="single" w:color="000000" w:sz="8" w:space="0"/>
              <w:left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正确运用高等教育教学改革新理念和信息化教学新要求设计教学方案、组织教学资源和实施教学过程</w:t>
            </w:r>
            <w:r>
              <w:rPr>
                <w:rFonts w:hint="eastAsia" w:ascii="宋体" w:hAnsi="宋体"/>
                <w:szCs w:val="21"/>
              </w:rPr>
              <w:t>。</w:t>
            </w:r>
          </w:p>
        </w:tc>
      </w:tr>
      <w:tr>
        <w:tblPrEx>
          <w:tblLayout w:type="fixed"/>
          <w:tblCellMar>
            <w:top w:w="0" w:type="dxa"/>
            <w:left w:w="0" w:type="dxa"/>
            <w:bottom w:w="0" w:type="dxa"/>
            <w:right w:w="0" w:type="dxa"/>
          </w:tblCellMar>
        </w:tblPrEx>
        <w:trPr>
          <w:trHeight w:val="818"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教学设计</w:t>
            </w:r>
          </w:p>
        </w:tc>
        <w:tc>
          <w:tcPr>
            <w:tcW w:w="709" w:type="dxa"/>
            <w:tcBorders>
              <w:top w:val="single" w:color="000000" w:sz="8" w:space="0"/>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w:t>
            </w:r>
          </w:p>
        </w:tc>
        <w:tc>
          <w:tcPr>
            <w:tcW w:w="7816" w:type="dxa"/>
            <w:gridSpan w:val="3"/>
            <w:tcBorders>
              <w:top w:val="single" w:color="000000" w:sz="8" w:space="0"/>
              <w:left w:val="single" w:color="auto" w:sz="4"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准确把握所授课程的主要内容及重点、难点等教学要求，教学目标设置和教学内容处理符合大学生认知规律</w:t>
            </w:r>
            <w:r>
              <w:rPr>
                <w:rFonts w:hint="eastAsia" w:ascii="宋体" w:hAnsi="宋体"/>
                <w:szCs w:val="21"/>
              </w:rPr>
              <w:t>。</w:t>
            </w:r>
          </w:p>
        </w:tc>
      </w:tr>
      <w:tr>
        <w:tblPrEx>
          <w:tblLayout w:type="fixed"/>
          <w:tblCellMar>
            <w:top w:w="0" w:type="dxa"/>
            <w:left w:w="0" w:type="dxa"/>
            <w:bottom w:w="0" w:type="dxa"/>
            <w:right w:w="0" w:type="dxa"/>
          </w:tblCellMar>
        </w:tblPrEx>
        <w:trPr>
          <w:trHeight w:val="815" w:hRule="atLeast"/>
          <w:jc w:val="center"/>
        </w:trPr>
        <w:tc>
          <w:tcPr>
            <w:tcW w:w="630" w:type="dxa"/>
            <w:vMerge w:val="continue"/>
            <w:tcBorders>
              <w:left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bottom w:val="single" w:color="000000" w:sz="8" w:space="0"/>
              <w:right w:val="single" w:color="000000" w:sz="8" w:space="0"/>
            </w:tcBorders>
            <w:shd w:val="clear" w:color="auto" w:fill="auto"/>
            <w:vAlign w:val="center"/>
          </w:tcPr>
          <w:p>
            <w:pPr>
              <w:spacing w:line="276" w:lineRule="auto"/>
              <w:jc w:val="center"/>
              <w:rPr>
                <w:szCs w:val="21"/>
              </w:rPr>
            </w:pPr>
            <w:r>
              <w:rPr>
                <w:rFonts w:hint="eastAsia"/>
                <w:szCs w:val="21"/>
              </w:rPr>
              <w:t>应用效果</w:t>
            </w:r>
          </w:p>
        </w:tc>
        <w:tc>
          <w:tcPr>
            <w:tcW w:w="709" w:type="dxa"/>
            <w:tcBorders>
              <w:top w:val="single" w:color="000000" w:sz="8" w:space="0"/>
              <w:left w:val="single" w:color="000000" w:sz="8" w:space="0"/>
              <w:bottom w:val="single" w:color="000000" w:sz="8"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auto" w:sz="4" w:space="0"/>
              <w:bottom w:val="single" w:color="000000" w:sz="8"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充分利用信息化的资源及工具改革课堂教学，破解教学难题，增强教学效果，有效调动学生自主学习、探究学习的积极性，师生互动好，教学效果好</w:t>
            </w:r>
            <w:r>
              <w:rPr>
                <w:rFonts w:hint="eastAsia" w:ascii="宋体" w:hAnsi="宋体"/>
                <w:szCs w:val="21"/>
              </w:rPr>
              <w:t>。</w:t>
            </w:r>
          </w:p>
        </w:tc>
      </w:tr>
      <w:tr>
        <w:tblPrEx>
          <w:tblLayout w:type="fixed"/>
          <w:tblCellMar>
            <w:top w:w="0" w:type="dxa"/>
            <w:left w:w="0" w:type="dxa"/>
            <w:bottom w:w="0" w:type="dxa"/>
            <w:right w:w="0" w:type="dxa"/>
          </w:tblCellMar>
        </w:tblPrEx>
        <w:trPr>
          <w:trHeight w:val="672" w:hRule="atLeast"/>
          <w:jc w:val="center"/>
        </w:trPr>
        <w:tc>
          <w:tcPr>
            <w:tcW w:w="630" w:type="dxa"/>
            <w:vMerge w:val="continue"/>
            <w:tcBorders>
              <w:left w:val="single" w:color="000000" w:sz="8" w:space="0"/>
              <w:bottom w:val="single" w:color="auto" w:sz="4"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p>
        </w:tc>
        <w:tc>
          <w:tcPr>
            <w:tcW w:w="567" w:type="dxa"/>
            <w:tcBorders>
              <w:top w:val="single" w:color="000000" w:sz="8" w:space="0"/>
              <w:left w:val="single" w:color="auto" w:sz="4" w:space="0"/>
              <w:bottom w:val="single" w:color="auto" w:sz="4" w:space="0"/>
              <w:right w:val="single" w:color="000000" w:sz="8" w:space="0"/>
            </w:tcBorders>
            <w:shd w:val="clear" w:color="auto" w:fill="auto"/>
            <w:vAlign w:val="center"/>
          </w:tcPr>
          <w:p>
            <w:pPr>
              <w:spacing w:line="276" w:lineRule="auto"/>
              <w:jc w:val="center"/>
              <w:rPr>
                <w:szCs w:val="21"/>
              </w:rPr>
            </w:pPr>
            <w:r>
              <w:rPr>
                <w:rFonts w:hint="eastAsia"/>
                <w:szCs w:val="21"/>
              </w:rPr>
              <w:t>教师素质</w:t>
            </w:r>
          </w:p>
        </w:tc>
        <w:tc>
          <w:tcPr>
            <w:tcW w:w="709" w:type="dxa"/>
            <w:tcBorders>
              <w:top w:val="single" w:color="000000" w:sz="8" w:space="0"/>
              <w:left w:val="single" w:color="000000" w:sz="8" w:space="0"/>
              <w:bottom w:val="single" w:color="auto" w:sz="4" w:space="0"/>
              <w:right w:val="single" w:color="auto" w:sz="4" w:space="0"/>
            </w:tcBorders>
            <w:shd w:val="clear" w:color="auto" w:fill="auto"/>
            <w:tcMar>
              <w:top w:w="17" w:type="dxa"/>
              <w:left w:w="63" w:type="dxa"/>
              <w:bottom w:w="0" w:type="dxa"/>
              <w:right w:w="63" w:type="dxa"/>
            </w:tcMar>
            <w:vAlign w:val="center"/>
          </w:tcPr>
          <w:p>
            <w:pPr>
              <w:spacing w:line="460" w:lineRule="exact"/>
              <w:jc w:val="center"/>
              <w:rPr>
                <w:szCs w:val="21"/>
              </w:rPr>
            </w:pPr>
            <w:r>
              <w:rPr>
                <w:rFonts w:hint="eastAsia"/>
                <w:szCs w:val="21"/>
              </w:rPr>
              <w:t>0.15</w:t>
            </w:r>
          </w:p>
        </w:tc>
        <w:tc>
          <w:tcPr>
            <w:tcW w:w="7816" w:type="dxa"/>
            <w:gridSpan w:val="3"/>
            <w:tcBorders>
              <w:top w:val="single" w:color="000000" w:sz="8" w:space="0"/>
              <w:left w:val="single" w:color="auto" w:sz="4" w:space="0"/>
              <w:bottom w:val="single" w:color="auto" w:sz="4" w:space="0"/>
              <w:right w:val="single" w:color="000000" w:sz="8" w:space="0"/>
            </w:tcBorders>
            <w:shd w:val="clear" w:color="auto" w:fill="auto"/>
            <w:tcMar>
              <w:top w:w="17" w:type="dxa"/>
              <w:left w:w="63" w:type="dxa"/>
              <w:bottom w:w="0" w:type="dxa"/>
              <w:right w:w="63" w:type="dxa"/>
            </w:tcMar>
          </w:tcPr>
          <w:p>
            <w:pPr>
              <w:spacing w:line="276" w:lineRule="auto"/>
              <w:ind w:firstLine="420" w:firstLineChars="200"/>
              <w:rPr>
                <w:rFonts w:ascii="宋体" w:hAnsi="宋体"/>
                <w:szCs w:val="21"/>
              </w:rPr>
            </w:pPr>
            <w:r>
              <w:rPr>
                <w:rFonts w:ascii="宋体" w:hAnsi="宋体"/>
                <w:szCs w:val="21"/>
              </w:rPr>
              <w:t>教态自然大方，语言标准生动，讲授条理清晰，</w:t>
            </w:r>
            <w:r>
              <w:rPr>
                <w:rFonts w:hint="eastAsia" w:ascii="宋体" w:hAnsi="宋体"/>
                <w:szCs w:val="21"/>
              </w:rPr>
              <w:t>信息化教学手段运用熟练，</w:t>
            </w:r>
            <w:r>
              <w:rPr>
                <w:rFonts w:ascii="宋体" w:hAnsi="宋体"/>
                <w:szCs w:val="21"/>
              </w:rPr>
              <w:t>形成了鲜明的教学风格。</w:t>
            </w:r>
          </w:p>
        </w:tc>
      </w:tr>
    </w:tbl>
    <w:p>
      <w:pPr>
        <w:spacing w:line="460" w:lineRule="exact"/>
        <w:ind w:firstLine="420" w:firstLineChars="200"/>
        <w:jc w:val="left"/>
        <w:rPr>
          <w:rFonts w:hint="eastAsia"/>
          <w:szCs w:val="21"/>
        </w:rPr>
      </w:pPr>
      <w:r>
        <w:rPr>
          <w:rFonts w:hint="eastAsia"/>
          <w:szCs w:val="21"/>
          <w:lang w:eastAsia="zh-CN"/>
        </w:rPr>
        <w:t>注：</w:t>
      </w:r>
      <w:r>
        <w:rPr>
          <w:rFonts w:hint="eastAsia"/>
          <w:szCs w:val="21"/>
        </w:rPr>
        <w:t>教学软件评价项给分依据：递交的所有软件或资源</w:t>
      </w:r>
      <w:bookmarkStart w:id="0" w:name="_GoBack"/>
      <w:bookmarkEnd w:id="0"/>
      <w:r>
        <w:rPr>
          <w:rFonts w:hint="eastAsia"/>
          <w:szCs w:val="21"/>
        </w:rPr>
        <w:t>；教学应用评价项给分依据：微视频。</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2E0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Jenny1417057240</cp:lastModifiedBy>
  <dcterms:modified xsi:type="dcterms:W3CDTF">2018-04-23T07:02:31Z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